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5E1B" w14:textId="660B6D45" w:rsidR="007124CB" w:rsidRDefault="007124CB">
      <w:r>
        <w:rPr>
          <w:rFonts w:ascii="Times New Roman" w:hAnsi="Times New Roman" w:cs="Times New Roman"/>
          <w:noProof/>
          <w:kern w:val="0"/>
          <w:sz w:val="24"/>
          <w:szCs w:val="24"/>
          <w:lang w:eastAsia="es-CU"/>
          <w14:ligatures w14:val="none"/>
        </w:rPr>
        <mc:AlternateContent>
          <mc:Choice Requires="wps">
            <w:drawing>
              <wp:anchor distT="0" distB="0" distL="114300" distR="114300" simplePos="0" relativeHeight="251659264" behindDoc="0" locked="0" layoutInCell="1" allowOverlap="1" wp14:anchorId="743AD0A6" wp14:editId="0DE6A37A">
                <wp:simplePos x="0" y="0"/>
                <wp:positionH relativeFrom="margin">
                  <wp:posOffset>-528955</wp:posOffset>
                </wp:positionH>
                <wp:positionV relativeFrom="paragraph">
                  <wp:posOffset>0</wp:posOffset>
                </wp:positionV>
                <wp:extent cx="6628765" cy="1028065"/>
                <wp:effectExtent l="0" t="0" r="635" b="635"/>
                <wp:wrapThrough wrapText="bothSides">
                  <wp:wrapPolygon edited="0">
                    <wp:start x="0" y="0"/>
                    <wp:lineTo x="0" y="21213"/>
                    <wp:lineTo x="21540" y="21213"/>
                    <wp:lineTo x="21540" y="0"/>
                    <wp:lineTo x="0" y="0"/>
                  </wp:wrapPolygon>
                </wp:wrapThrough>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372FC" w14:textId="77777777" w:rsidR="004A0763" w:rsidRDefault="004A0763" w:rsidP="004A0763">
                            <w:pPr>
                              <w:spacing w:after="0" w:line="240" w:lineRule="auto"/>
                              <w:jc w:val="center"/>
                              <w:rPr>
                                <w:rFonts w:ascii="Times New Roman" w:eastAsia="Times New Roman" w:hAnsi="Times New Roman"/>
                                <w:b/>
                                <w:sz w:val="36"/>
                                <w:szCs w:val="36"/>
                                <w:lang w:val="es-ES" w:eastAsia="es-ES"/>
                              </w:rPr>
                            </w:pPr>
                            <w:r>
                              <w:rPr>
                                <w:rFonts w:ascii="Times New Roman" w:hAnsi="Times New Roman"/>
                                <w:b/>
                                <w:bCs/>
                                <w:color w:val="000000"/>
                                <w:kern w:val="24"/>
                                <w:sz w:val="36"/>
                                <w:szCs w:val="36"/>
                              </w:rPr>
                              <w:t xml:space="preserve"> </w:t>
                            </w:r>
                            <w:r>
                              <w:rPr>
                                <w:rFonts w:ascii="Times New Roman" w:eastAsia="Times New Roman" w:hAnsi="Times New Roman"/>
                                <w:b/>
                                <w:sz w:val="36"/>
                                <w:szCs w:val="36"/>
                                <w:lang w:eastAsia="es-ES"/>
                              </w:rPr>
                              <w:t>I Taller de Diagnóstico Prenatal Ultrasonográfico, Holguín 2024.</w:t>
                            </w:r>
                          </w:p>
                          <w:p w14:paraId="753ED8A1" w14:textId="77777777" w:rsidR="004A0763" w:rsidRDefault="004A0763" w:rsidP="004A0763">
                            <w:pPr>
                              <w:spacing w:after="0" w:line="240" w:lineRule="auto"/>
                              <w:jc w:val="center"/>
                              <w:rPr>
                                <w:rFonts w:ascii="Times New Roman" w:hAnsi="Times New Roman"/>
                                <w:b/>
                                <w:sz w:val="36"/>
                                <w:szCs w:val="36"/>
                              </w:rPr>
                            </w:pPr>
                            <w:r>
                              <w:rPr>
                                <w:rFonts w:ascii="Times New Roman" w:eastAsia="Times New Roman" w:hAnsi="Times New Roman"/>
                                <w:b/>
                                <w:sz w:val="36"/>
                                <w:szCs w:val="36"/>
                                <w:lang w:eastAsia="es-ES"/>
                              </w:rPr>
                              <w:t>(I TDPU_Holguín2024)</w:t>
                            </w:r>
                          </w:p>
                          <w:p w14:paraId="07098357" w14:textId="77777777" w:rsidR="004A0763" w:rsidRDefault="004A0763" w:rsidP="004A0763">
                            <w:pPr>
                              <w:jc w:val="center"/>
                              <w:rPr>
                                <w:rFonts w:cs="Arial"/>
                                <w:b/>
                                <w:sz w:val="28"/>
                                <w:szCs w:val="28"/>
                                <w:lang w:val="es-ES"/>
                              </w:rPr>
                            </w:pPr>
                          </w:p>
                          <w:p w14:paraId="130054FC" w14:textId="77777777" w:rsidR="004A0763" w:rsidRDefault="004A0763" w:rsidP="004A0763">
                            <w:pPr>
                              <w:pStyle w:val="NormalWeb"/>
                              <w:kinsoku w:val="0"/>
                              <w:overflowPunct w:val="0"/>
                              <w:spacing w:before="0" w:beforeAutospacing="0" w:after="160" w:afterAutospacing="0"/>
                              <w:jc w:val="both"/>
                              <w:textAlignment w:val="baseline"/>
                              <w:rPr>
                                <w:rFonts w:ascii="Verdana" w:hAnsi="Verdana"/>
                                <w:b/>
                                <w:bCs/>
                                <w:color w:val="000000"/>
                                <w:kern w:val="24"/>
                                <w:sz w:val="22"/>
                                <w:szCs w:val="22"/>
                              </w:rPr>
                            </w:pPr>
                          </w:p>
                          <w:p w14:paraId="0EC8F9C1" w14:textId="77777777" w:rsidR="004A0763" w:rsidRDefault="004A0763" w:rsidP="004A0763">
                            <w:pPr>
                              <w:pStyle w:val="NormalWeb"/>
                              <w:kinsoku w:val="0"/>
                              <w:overflowPunct w:val="0"/>
                              <w:spacing w:before="0" w:beforeAutospacing="0" w:after="160" w:afterAutospacing="0"/>
                              <w:jc w:val="both"/>
                              <w:textAlignment w:val="baseline"/>
                              <w:rPr>
                                <w:rFonts w:ascii="Verdana" w:hAnsi="Verdana"/>
                                <w:b/>
                                <w:bCs/>
                                <w:color w:val="000000"/>
                                <w:kern w:val="24"/>
                                <w:sz w:val="22"/>
                                <w:szCs w:val="22"/>
                              </w:rPr>
                            </w:pPr>
                          </w:p>
                          <w:p w14:paraId="4F22090D" w14:textId="77777777" w:rsidR="004A0763" w:rsidRDefault="004A0763" w:rsidP="004A0763">
                            <w:pPr>
                              <w:pStyle w:val="NormalWeb"/>
                              <w:kinsoku w:val="0"/>
                              <w:overflowPunct w:val="0"/>
                              <w:spacing w:before="0" w:beforeAutospacing="0" w:after="160" w:afterAutospacing="0"/>
                              <w:jc w:val="both"/>
                              <w:textAlignment w:val="baseline"/>
                            </w:pPr>
                          </w:p>
                        </w:txbxContent>
                      </wps:txbx>
                      <wps:bodyPr vertOverflow="clip" horzOverflow="clip"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743AD0A6" id="_x0000_t202" coordsize="21600,21600" o:spt="202" path="m,l,21600r21600,l21600,xe">
                <v:stroke joinstyle="miter"/>
                <v:path gradientshapeok="t" o:connecttype="rect"/>
              </v:shapetype>
              <v:shape id="Cuadro de texto 1" o:spid="_x0000_s1026" type="#_x0000_t202" style="position:absolute;margin-left:-41.65pt;margin-top:0;width:521.95pt;height:8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" stroked="f">
                <v:textbox>
                  <w:txbxContent>
                    <w:p w14:paraId="0F6372FC" w14:textId="77777777" w:rsidR="004A0763" w:rsidRDefault="004A0763" w:rsidP="004A0763">
                      <w:pPr>
                        <w:spacing w:after="0" w:line="240" w:lineRule="auto"/>
                        <w:jc w:val="center"/>
                        <w:rPr>
                          <w:rFonts w:ascii="Times New Roman" w:eastAsia="Times New Roman" w:hAnsi="Times New Roman"/>
                          <w:b/>
                          <w:sz w:val="36"/>
                          <w:szCs w:val="36"/>
                          <w:lang w:val="es-ES" w:eastAsia="es-ES"/>
                        </w:rPr>
                      </w:pPr>
                      <w:r>
                        <w:rPr>
                          <w:rFonts w:ascii="Times New Roman" w:hAnsi="Times New Roman"/>
                          <w:b/>
                          <w:bCs/>
                          <w:color w:val="000000"/>
                          <w:kern w:val="24"/>
                          <w:sz w:val="36"/>
                          <w:szCs w:val="36"/>
                        </w:rPr>
                        <w:t xml:space="preserve"> </w:t>
                      </w:r>
                      <w:r>
                        <w:rPr>
                          <w:rFonts w:ascii="Times New Roman" w:eastAsia="Times New Roman" w:hAnsi="Times New Roman"/>
                          <w:b/>
                          <w:sz w:val="36"/>
                          <w:szCs w:val="36"/>
                          <w:lang w:eastAsia="es-ES"/>
                        </w:rPr>
                        <w:t>I Taller de Diagnóstico Prenatal Ultrasonográfico, Holguín 2024.</w:t>
                      </w:r>
                    </w:p>
                    <w:p w14:paraId="753ED8A1" w14:textId="77777777" w:rsidR="004A0763" w:rsidRDefault="004A0763" w:rsidP="004A0763">
                      <w:pPr>
                        <w:spacing w:after="0" w:line="240" w:lineRule="auto"/>
                        <w:jc w:val="center"/>
                        <w:rPr>
                          <w:rFonts w:ascii="Times New Roman" w:hAnsi="Times New Roman"/>
                          <w:b/>
                          <w:sz w:val="36"/>
                          <w:szCs w:val="36"/>
                        </w:rPr>
                      </w:pPr>
                      <w:r>
                        <w:rPr>
                          <w:rFonts w:ascii="Times New Roman" w:eastAsia="Times New Roman" w:hAnsi="Times New Roman"/>
                          <w:b/>
                          <w:sz w:val="36"/>
                          <w:szCs w:val="36"/>
                          <w:lang w:eastAsia="es-ES"/>
                        </w:rPr>
                        <w:t>(I TDPU_Holguín2024)</w:t>
                      </w:r>
                    </w:p>
                    <w:p w14:paraId="07098357" w14:textId="77777777" w:rsidR="004A0763" w:rsidRDefault="004A0763" w:rsidP="004A0763">
                      <w:pPr>
                        <w:jc w:val="center"/>
                        <w:rPr>
                          <w:rFonts w:cs="Arial"/>
                          <w:b/>
                          <w:sz w:val="28"/>
                          <w:szCs w:val="28"/>
                          <w:lang w:val="es-ES"/>
                        </w:rPr>
                      </w:pPr>
                    </w:p>
                    <w:p w14:paraId="130054FC" w14:textId="77777777" w:rsidR="004A0763" w:rsidRDefault="004A0763" w:rsidP="004A0763">
                      <w:pPr>
                        <w:pStyle w:val="NormalWeb"/>
                        <w:kinsoku w:val="0"/>
                        <w:overflowPunct w:val="0"/>
                        <w:spacing w:before="0" w:beforeAutospacing="0" w:after="160" w:afterAutospacing="0"/>
                        <w:jc w:val="both"/>
                        <w:textAlignment w:val="baseline"/>
                        <w:rPr>
                          <w:rFonts w:ascii="Verdana" w:hAnsi="Verdana"/>
                          <w:b/>
                          <w:bCs/>
                          <w:color w:val="000000"/>
                          <w:kern w:val="24"/>
                          <w:sz w:val="22"/>
                          <w:szCs w:val="22"/>
                        </w:rPr>
                      </w:pPr>
                    </w:p>
                    <w:p w14:paraId="0EC8F9C1" w14:textId="77777777" w:rsidR="004A0763" w:rsidRDefault="004A0763" w:rsidP="004A0763">
                      <w:pPr>
                        <w:pStyle w:val="NormalWeb"/>
                        <w:kinsoku w:val="0"/>
                        <w:overflowPunct w:val="0"/>
                        <w:spacing w:before="0" w:beforeAutospacing="0" w:after="160" w:afterAutospacing="0"/>
                        <w:jc w:val="both"/>
                        <w:textAlignment w:val="baseline"/>
                        <w:rPr>
                          <w:rFonts w:ascii="Verdana" w:hAnsi="Verdana"/>
                          <w:b/>
                          <w:bCs/>
                          <w:color w:val="000000"/>
                          <w:kern w:val="24"/>
                          <w:sz w:val="22"/>
                          <w:szCs w:val="22"/>
                        </w:rPr>
                      </w:pPr>
                    </w:p>
                    <w:p w14:paraId="4F22090D" w14:textId="77777777" w:rsidR="004A0763" w:rsidRDefault="004A0763" w:rsidP="004A0763">
                      <w:pPr>
                        <w:pStyle w:val="NormalWeb"/>
                        <w:kinsoku w:val="0"/>
                        <w:overflowPunct w:val="0"/>
                        <w:spacing w:before="0" w:beforeAutospacing="0" w:after="160" w:afterAutospacing="0"/>
                        <w:jc w:val="both"/>
                        <w:textAlignment w:val="baseline"/>
                      </w:pPr>
                    </w:p>
                  </w:txbxContent>
                </v:textbox>
                <w10:wrap type="through" anchorx="margin"/>
              </v:shape>
            </w:pict>
          </mc:Fallback>
        </mc:AlternateContent>
      </w:r>
    </w:p>
    <w:p w14:paraId="2CAD1881" w14:textId="77777777" w:rsidR="007124CB" w:rsidRPr="00E33046" w:rsidRDefault="007124CB" w:rsidP="007124CB">
      <w:pPr>
        <w:jc w:val="center"/>
        <w:rPr>
          <w:rFonts w:ascii="Verdana" w:hAnsi="Verdana"/>
          <w:b/>
          <w:bCs/>
          <w:sz w:val="24"/>
          <w:szCs w:val="24"/>
        </w:rPr>
      </w:pPr>
      <w:r w:rsidRPr="00E33046">
        <w:rPr>
          <w:rFonts w:ascii="Verdana" w:hAnsi="Verdana"/>
          <w:b/>
          <w:bCs/>
          <w:sz w:val="24"/>
          <w:szCs w:val="24"/>
        </w:rPr>
        <w:t>Clasificación de las anomalías congénitas. Estado del arte. Estudio bibliométrico.</w:t>
      </w:r>
    </w:p>
    <w:p w14:paraId="48394468" w14:textId="720A589A" w:rsidR="004A0763" w:rsidRPr="007124CB" w:rsidRDefault="007124CB" w:rsidP="007124CB">
      <w:pPr>
        <w:jc w:val="both"/>
        <w:rPr>
          <w:rFonts w:ascii="Verdana" w:hAnsi="Verdana"/>
        </w:rPr>
      </w:pPr>
      <w:r w:rsidRPr="007124CB">
        <w:rPr>
          <w:rFonts w:ascii="Verdana" w:hAnsi="Verdana"/>
        </w:rPr>
        <w:t xml:space="preserve">Yaimara Valdés Silva, Rafael Manuel Trinchet Soler, Evelyn María Fraga Fernández, Beatriz Infantes Hernández, Dania Vargas Batista, Héctor Manuel García Rodríguez </w:t>
      </w:r>
      <w:r w:rsidRPr="007124CB">
        <w:rPr>
          <w:rFonts w:ascii="Verdana" w:hAnsi="Verdana"/>
        </w:rPr>
        <mc:AlternateContent>
          <mc:Choice Requires="wps">
            <w:drawing>
              <wp:inline distT="0" distB="0" distL="0" distR="0" wp14:anchorId="54A2084A" wp14:editId="730A449E">
                <wp:extent cx="152400" cy="133350"/>
                <wp:effectExtent l="0" t="0" r="0" b="0"/>
                <wp:docPr id="2031112298" name="Rectángulo 3" descr="Corr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A0C62" id="Rectángulo 3" o:spid="_x0000_s1026" alt="Correo" href="https://diagprenatalhol.sld.cu/index.php/TDPUHolguin/2024/user/email?redirectUrl=https%3A%2F%2Fdiagprenatalhol.sld.cu%2Findex.php%2FTDPUHolguin%2F2024%2Fdirector%2Fsubmission%2F48&amp;to%5B%5D=%22Yaimara%20Vald%C3%A9s%20Silva%20%22%20%3Cyaimaravaldesilva%40gmail.com%3E&amp;to%5B%5D=%22Rafael%20Manuel%20Trinchet%20Soler%20%22%20%3Ctrinchetbolivia%40gmail.com%3E&amp;to%5B%5D=%22Evelyn%20Mar%C3%ADa%20Fraga%20Fern%C3%A1ndez%20%22%20%3Cevefraga93%40gmail.com%3E&amp;to%5B%5D=%22Beatriz%20Infantes%20Hern%C3%A1ndez%20%22%20%3Cbinfanteh%40gmail.com%3E&amp;to%5B%5D=%22Dania%20Vargas%20Batista%20%22%20%3Cdaniavargasb1%40gmail.com%3E&amp;to%5B%5D=%22H%C3%A9ctor%20Manuel%20Garc%C3%ADa%20Rodr%C3%ADguez%20%22%20%3Chgarciar1168%40gmail.com%3E&amp;subject=Clasificaci%C3%B3n%20de%20las%20anomal%C3%ADas%20cong%C3%A9nitas.%20Estado%20del%20arte.%20Estudio%20bibliom%C3%A9trico.&amp;paperId=48"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" o:button="t" filled="f" stroked="f">
                <v:fill o:detectmouseclick="t"/>
                <o:lock v:ext="edit" aspectratio="t"/>
                <w10:anchorlock/>
              </v:rect>
            </w:pict>
          </mc:Fallback>
        </mc:AlternateContent>
      </w:r>
    </w:p>
    <w:p w14:paraId="04CFE150" w14:textId="77777777" w:rsidR="007124CB" w:rsidRPr="007124CB" w:rsidRDefault="007124CB" w:rsidP="007124CB">
      <w:pPr>
        <w:jc w:val="both"/>
        <w:rPr>
          <w:rFonts w:ascii="Verdana" w:hAnsi="Verdana"/>
        </w:rPr>
      </w:pPr>
      <w:r w:rsidRPr="007124CB">
        <w:rPr>
          <w:rFonts w:ascii="Verdana" w:hAnsi="Verdana"/>
        </w:rPr>
        <w:t>Introducción: Las anomalías congénitas son todas las alteraciones del desarrollo estructural, funcional, metabólico y de la conducta presentes al nacer, aunque pueden manifestarse más tarde, resultantes de una embriogénesis defectuosa. Para la correcta interpretación de las malformaciones congénitas se hace necesario revisar las diferentes clasificaciones existentes y como se han ido modificando en el tiempo. Otro elemento importante es precisar el valor práctico de las mismas.</w:t>
      </w:r>
    </w:p>
    <w:p w14:paraId="36037C26" w14:textId="77777777" w:rsidR="007124CB" w:rsidRPr="007124CB" w:rsidRDefault="007124CB" w:rsidP="007124CB">
      <w:pPr>
        <w:jc w:val="both"/>
        <w:rPr>
          <w:rFonts w:ascii="Verdana" w:hAnsi="Verdana"/>
        </w:rPr>
      </w:pPr>
      <w:r w:rsidRPr="007124CB">
        <w:rPr>
          <w:rFonts w:ascii="Verdana" w:hAnsi="Verdana"/>
        </w:rPr>
        <w:t>Objetivo: Describir el estado del arte en relación a la clasificación de las malformaciones congénitas.</w:t>
      </w:r>
    </w:p>
    <w:p w14:paraId="3EBE9F96" w14:textId="02A05A95" w:rsidR="007124CB" w:rsidRPr="007124CB" w:rsidRDefault="007124CB" w:rsidP="007124CB">
      <w:pPr>
        <w:jc w:val="both"/>
        <w:rPr>
          <w:rFonts w:ascii="Verdana" w:hAnsi="Verdana"/>
        </w:rPr>
      </w:pPr>
      <w:r w:rsidRPr="007124CB">
        <w:rPr>
          <w:rFonts w:ascii="Verdana" w:hAnsi="Verdana"/>
        </w:rPr>
        <w:t xml:space="preserve">Método: Se hace un estudio de revisión de las clasificaciones de las malformaciones congénitas mediante Medline con el uso de pubmed, en los últimos 20 años para conocer el estado actual de la temática. La estrategia de búsqueda inicial estuvo dada por: ("Congenital Abnormalities"[Mesh]) AND "Teratology"[Mesh]. Se hace un estudio bibliométrico que permitió conocer las principales palabras claves, autores y organizaciones </w:t>
      </w:r>
      <w:r w:rsidR="0052660A" w:rsidRPr="007124CB">
        <w:rPr>
          <w:rFonts w:ascii="Verdana" w:hAnsi="Verdana"/>
        </w:rPr>
        <w:t>relevante,</w:t>
      </w:r>
      <w:r w:rsidRPr="007124CB">
        <w:rPr>
          <w:rFonts w:ascii="Verdana" w:hAnsi="Verdana"/>
        </w:rPr>
        <w:t xml:space="preserve"> así como el mapa temático.</w:t>
      </w:r>
    </w:p>
    <w:p w14:paraId="31FD18E8" w14:textId="77777777" w:rsidR="007124CB" w:rsidRPr="007124CB" w:rsidRDefault="007124CB" w:rsidP="007124CB">
      <w:pPr>
        <w:jc w:val="both"/>
        <w:rPr>
          <w:rFonts w:ascii="Verdana" w:hAnsi="Verdana"/>
        </w:rPr>
      </w:pPr>
      <w:r w:rsidRPr="007124CB">
        <w:rPr>
          <w:rFonts w:ascii="Verdana" w:hAnsi="Verdana"/>
        </w:rPr>
        <w:t>Resultados:  Se identificaron las palabras claves que permiten búsquedas más precisas en relación a las malformaciones congénitas, así como los autores, revistas e instituciones. Se describe el mapa temático.</w:t>
      </w:r>
    </w:p>
    <w:p w14:paraId="55B146D5" w14:textId="00DD0B41" w:rsidR="007124CB" w:rsidRPr="007124CB" w:rsidRDefault="007124CB" w:rsidP="007124CB">
      <w:pPr>
        <w:jc w:val="both"/>
        <w:rPr>
          <w:rFonts w:ascii="Verdana" w:hAnsi="Verdana"/>
        </w:rPr>
      </w:pPr>
      <w:r w:rsidRPr="007124CB">
        <w:rPr>
          <w:rFonts w:ascii="Verdana" w:hAnsi="Verdana"/>
        </w:rPr>
        <w:t xml:space="preserve">Conclusiones: Las clasificaciones de las malformaciones congénitas es fundamental para poder establecer los estudios necesarios del punto de vista epidemiológico y para los registros existentes en los </w:t>
      </w:r>
      <w:r w:rsidR="0052660A" w:rsidRPr="007124CB">
        <w:rPr>
          <w:rFonts w:ascii="Verdana" w:hAnsi="Verdana"/>
        </w:rPr>
        <w:t>diferentes</w:t>
      </w:r>
      <w:r w:rsidRPr="007124CB">
        <w:rPr>
          <w:rFonts w:ascii="Verdana" w:hAnsi="Verdana"/>
        </w:rPr>
        <w:t xml:space="preserve"> países, en muchos de los cuales, no son utilizadas.</w:t>
      </w:r>
    </w:p>
    <w:p w14:paraId="66A72AB7" w14:textId="0CF74F52" w:rsidR="004A0763" w:rsidRPr="007124CB" w:rsidRDefault="007124CB" w:rsidP="007124CB">
      <w:pPr>
        <w:jc w:val="both"/>
        <w:rPr>
          <w:rFonts w:ascii="Verdana" w:hAnsi="Verdana"/>
        </w:rPr>
      </w:pPr>
      <w:r w:rsidRPr="007124CB">
        <w:rPr>
          <w:rFonts w:ascii="Verdana" w:hAnsi="Verdana"/>
        </w:rPr>
        <w:t>Palabras claves: Anomalías congénitas, Teratología, Clasificación.</w:t>
      </w:r>
    </w:p>
    <w:p w14:paraId="28DDD599" w14:textId="662E5352" w:rsidR="00632AE7" w:rsidRPr="007124CB" w:rsidRDefault="00632AE7" w:rsidP="007124CB">
      <w:pPr>
        <w:jc w:val="both"/>
        <w:rPr>
          <w:rFonts w:ascii="Verdana" w:hAnsi="Verdana"/>
        </w:rPr>
      </w:pPr>
    </w:p>
    <w:p w14:paraId="03C7F381" w14:textId="77777777" w:rsidR="007124CB" w:rsidRDefault="007124CB"/>
    <w:p w14:paraId="64926C6C" w14:textId="77777777" w:rsidR="004A0763" w:rsidRDefault="004A0763"/>
    <w:sectPr w:rsidR="004A07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1C"/>
    <w:rsid w:val="004A0763"/>
    <w:rsid w:val="0052660A"/>
    <w:rsid w:val="00570E1C"/>
    <w:rsid w:val="00632AE7"/>
    <w:rsid w:val="007124CB"/>
    <w:rsid w:val="00B06458"/>
    <w:rsid w:val="00E33046"/>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8935"/>
  <w15:chartTrackingRefBased/>
  <w15:docId w15:val="{2438C379-2100-4600-B06D-67FA1235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63"/>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0763"/>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83200">
      <w:bodyDiv w:val="1"/>
      <w:marLeft w:val="0"/>
      <w:marRight w:val="0"/>
      <w:marTop w:val="0"/>
      <w:marBottom w:val="0"/>
      <w:divBdr>
        <w:top w:val="none" w:sz="0" w:space="0" w:color="auto"/>
        <w:left w:val="none" w:sz="0" w:space="0" w:color="auto"/>
        <w:bottom w:val="none" w:sz="0" w:space="0" w:color="auto"/>
        <w:right w:val="none" w:sz="0" w:space="0" w:color="auto"/>
      </w:divBdr>
    </w:div>
    <w:div w:id="17609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agprenatalhol.sld.cu/index.php/TDPUHolguin/2024/user/email?redirectUrl=https%3A%2F%2Fdiagprenatalhol.sld.cu%2Findex.php%2FTDPUHolguin%2F2024%2Fdirector%2Fsubmission%2F48&amp;to%5B%5D=%22Yaimara%20Vald%C3%A9s%20Silva%20%22%20%3Cyaimaravaldesilva%40gmail.com%3E&amp;to%5B%5D=%22Rafael%20Manuel%20Trinchet%20Soler%20%22%20%3Ctrinchetbolivia%40gmail.com%3E&amp;to%5B%5D=%22Evelyn%20Mar%C3%ADa%20Fraga%20Fern%C3%A1ndez%20%22%20%3Cevefraga93%40gmail.com%3E&amp;to%5B%5D=%22Beatriz%20Infantes%20Hern%C3%A1ndez%20%22%20%3Cbinfanteh%40gmail.com%3E&amp;to%5B%5D=%22Dania%20Vargas%20Batista%20%22%20%3Cdaniavargasb1%40gmail.com%3E&amp;to%5B%5D=%22H%C3%A9ctor%20Manuel%20Garc%C3%ADa%20Rodr%C3%ADguez%20%22%20%3Chgarciar1168%40gmail.com%3E&amp;subject=Clasificaci%C3%B3n%20de%20las%20anomal%C3%ADas%20cong%C3%A9nitas.%20Estado%20del%20arte.%20Estudio%20bibliom%C3%A9trico.&amp;paperId=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Salbi - Trabajo</dc:creator>
  <cp:keywords/>
  <dc:description/>
  <cp:lastModifiedBy>Salbi - Trabajo</cp:lastModifiedBy>
  <cp:revision>6</cp:revision>
  <dcterms:created xsi:type="dcterms:W3CDTF">2024-02-06T15:56:00Z</dcterms:created>
  <dcterms:modified xsi:type="dcterms:W3CDTF">2024-02-06T15:59:00Z</dcterms:modified>
</cp:coreProperties>
</file>